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F8613" w14:textId="77777777" w:rsidR="00A75000" w:rsidRDefault="00A75000">
      <w:pPr>
        <w:rPr>
          <w:b/>
          <w:sz w:val="32"/>
          <w:szCs w:val="32"/>
        </w:rPr>
      </w:pPr>
      <w:r>
        <w:rPr>
          <w:b/>
          <w:sz w:val="32"/>
          <w:szCs w:val="32"/>
        </w:rPr>
        <w:t>Northwestern University, Core Facilities Administration</w:t>
      </w:r>
    </w:p>
    <w:p w14:paraId="1FEE0EB5" w14:textId="170F73AC" w:rsidR="002D4353" w:rsidRPr="00A75000" w:rsidRDefault="00A75000">
      <w:pPr>
        <w:rPr>
          <w:sz w:val="28"/>
          <w:szCs w:val="28"/>
        </w:rPr>
      </w:pPr>
      <w:proofErr w:type="spellStart"/>
      <w:r w:rsidRPr="00A75000">
        <w:rPr>
          <w:sz w:val="28"/>
          <w:szCs w:val="28"/>
        </w:rPr>
        <w:t>Procesing</w:t>
      </w:r>
      <w:proofErr w:type="spellEnd"/>
      <w:r w:rsidRPr="00A75000">
        <w:rPr>
          <w:sz w:val="28"/>
          <w:szCs w:val="28"/>
        </w:rPr>
        <w:t xml:space="preserve"> External Credit </w:t>
      </w:r>
      <w:r w:rsidR="001456FF">
        <w:rPr>
          <w:sz w:val="28"/>
          <w:szCs w:val="28"/>
        </w:rPr>
        <w:t xml:space="preserve">Cards: </w:t>
      </w:r>
      <w:proofErr w:type="spellStart"/>
      <w:r w:rsidRPr="00A75000">
        <w:rPr>
          <w:sz w:val="28"/>
          <w:szCs w:val="28"/>
        </w:rPr>
        <w:t>NUcore-CardConnect</w:t>
      </w:r>
      <w:proofErr w:type="spellEnd"/>
      <w:r w:rsidRPr="00A75000">
        <w:rPr>
          <w:sz w:val="28"/>
          <w:szCs w:val="28"/>
        </w:rPr>
        <w:t xml:space="preserve"> Interface</w:t>
      </w:r>
    </w:p>
    <w:p w14:paraId="0AB6F572" w14:textId="77D0FB4D" w:rsidR="00A75000" w:rsidRPr="00A75000" w:rsidRDefault="00A75000">
      <w:pPr>
        <w:rPr>
          <w:sz w:val="28"/>
          <w:szCs w:val="28"/>
        </w:rPr>
      </w:pPr>
      <w:r w:rsidRPr="00A75000">
        <w:rPr>
          <w:sz w:val="28"/>
          <w:szCs w:val="28"/>
        </w:rPr>
        <w:t>Policy and Procedure Document</w:t>
      </w:r>
      <w:r w:rsidR="00D47D59">
        <w:rPr>
          <w:sz w:val="28"/>
          <w:szCs w:val="28"/>
        </w:rPr>
        <w:t xml:space="preserve"> Updated:</w:t>
      </w:r>
      <w:bookmarkStart w:id="0" w:name="_GoBack"/>
      <w:bookmarkEnd w:id="0"/>
      <w:r w:rsidR="00D47D59">
        <w:rPr>
          <w:sz w:val="28"/>
          <w:szCs w:val="28"/>
        </w:rPr>
        <w:t xml:space="preserve"> 6/6/2016</w:t>
      </w:r>
    </w:p>
    <w:p w14:paraId="2A7CA761" w14:textId="77777777" w:rsidR="00A75000" w:rsidRDefault="00A75000">
      <w:pPr>
        <w:rPr>
          <w:sz w:val="28"/>
          <w:szCs w:val="28"/>
        </w:rPr>
      </w:pPr>
    </w:p>
    <w:p w14:paraId="0B2DF2CF" w14:textId="77777777" w:rsidR="00A75000" w:rsidRDefault="00A75000">
      <w:pPr>
        <w:rPr>
          <w:sz w:val="28"/>
          <w:szCs w:val="28"/>
        </w:rPr>
      </w:pPr>
      <w:r>
        <w:rPr>
          <w:sz w:val="28"/>
          <w:szCs w:val="28"/>
        </w:rPr>
        <w:t>Setup Procedure</w:t>
      </w:r>
    </w:p>
    <w:p w14:paraId="7CC89602" w14:textId="77777777" w:rsidR="00A75000" w:rsidRDefault="00A75000" w:rsidP="00A75000">
      <w:pPr>
        <w:rPr>
          <w:sz w:val="28"/>
          <w:szCs w:val="28"/>
        </w:rPr>
      </w:pPr>
    </w:p>
    <w:p w14:paraId="362FCE60" w14:textId="77777777" w:rsidR="007C272D" w:rsidRDefault="00A75000" w:rsidP="00A75000">
      <w:pPr>
        <w:pStyle w:val="ListParagraph"/>
        <w:numPr>
          <w:ilvl w:val="0"/>
          <w:numId w:val="2"/>
        </w:numPr>
      </w:pPr>
      <w:r>
        <w:t>The facility first c</w:t>
      </w:r>
      <w:r w:rsidR="007C272D" w:rsidRPr="00A75000">
        <w:t>omplete</w:t>
      </w:r>
      <w:r>
        <w:t>s the</w:t>
      </w:r>
      <w:r w:rsidR="007C272D" w:rsidRPr="00A75000">
        <w:t xml:space="preserve"> Treasury Services “Merchant Car</w:t>
      </w:r>
      <w:r>
        <w:t xml:space="preserve">d Processing Request Form” (Core Facilities Administration will provide a </w:t>
      </w:r>
      <w:r w:rsidR="007C272D" w:rsidRPr="00A75000">
        <w:t>p</w:t>
      </w:r>
      <w:r>
        <w:t>re-populated version of the template</w:t>
      </w:r>
      <w:r w:rsidR="007C272D" w:rsidRPr="00A75000">
        <w:t>)</w:t>
      </w:r>
      <w:r>
        <w:t>.</w:t>
      </w:r>
    </w:p>
    <w:p w14:paraId="630D1842" w14:textId="77777777" w:rsidR="007C272D" w:rsidRPr="00A75000" w:rsidRDefault="00A75000" w:rsidP="00A75000">
      <w:pPr>
        <w:pStyle w:val="ListParagraph"/>
        <w:numPr>
          <w:ilvl w:val="0"/>
          <w:numId w:val="2"/>
        </w:numPr>
      </w:pPr>
      <w:r>
        <w:t>All facility staff</w:t>
      </w:r>
      <w:r w:rsidR="007C272D" w:rsidRPr="00A75000">
        <w:t xml:space="preserve"> involved in </w:t>
      </w:r>
      <w:r>
        <w:t xml:space="preserve">the </w:t>
      </w:r>
      <w:r w:rsidR="007C272D" w:rsidRPr="00A75000">
        <w:t>billi</w:t>
      </w:r>
      <w:r>
        <w:t>ng/invoicing/reconciling processes</w:t>
      </w:r>
      <w:r w:rsidR="007C272D" w:rsidRPr="00A75000">
        <w:t xml:space="preserve"> must complete the PCI-DSS training located here: </w:t>
      </w:r>
      <w:hyperlink r:id="rId6" w:history="1">
        <w:r w:rsidR="007C272D" w:rsidRPr="00A75000">
          <w:rPr>
            <w:rStyle w:val="Hyperlink"/>
          </w:rPr>
          <w:t>http://www.northwestern.edu/hr/workplace-learning/regulatory-</w:t>
        </w:r>
      </w:hyperlink>
      <w:hyperlink r:id="rId7" w:history="1">
        <w:r w:rsidR="007C272D" w:rsidRPr="00A75000">
          <w:rPr>
            <w:rStyle w:val="Hyperlink"/>
          </w:rPr>
          <w:t>compliance.html</w:t>
        </w:r>
      </w:hyperlink>
    </w:p>
    <w:p w14:paraId="08687E96" w14:textId="622AEB80" w:rsidR="007C272D" w:rsidRPr="00A75000" w:rsidRDefault="00A75000" w:rsidP="00A75000">
      <w:pPr>
        <w:pStyle w:val="ListParagraph"/>
        <w:numPr>
          <w:ilvl w:val="0"/>
          <w:numId w:val="2"/>
        </w:numPr>
      </w:pPr>
      <w:r>
        <w:t xml:space="preserve">Designated </w:t>
      </w:r>
      <w:r w:rsidR="00754D77">
        <w:t xml:space="preserve">core </w:t>
      </w:r>
      <w:r>
        <w:t xml:space="preserve">facility staff </w:t>
      </w:r>
      <w:r w:rsidR="007C272D" w:rsidRPr="00A75000">
        <w:t xml:space="preserve">must </w:t>
      </w:r>
      <w:r>
        <w:t>be granted access to and</w:t>
      </w:r>
      <w:r w:rsidR="007C272D" w:rsidRPr="00A75000">
        <w:t xml:space="preserve"> trained on the </w:t>
      </w:r>
      <w:proofErr w:type="spellStart"/>
      <w:r w:rsidR="007C272D" w:rsidRPr="00A75000">
        <w:t>CardConnect</w:t>
      </w:r>
      <w:proofErr w:type="spellEnd"/>
      <w:r w:rsidR="007C272D" w:rsidRPr="00A75000">
        <w:t xml:space="preserve"> Dashboard </w:t>
      </w:r>
      <w:r>
        <w:t>(provides a summary of all Merchant ID transaction activity</w:t>
      </w:r>
      <w:r w:rsidR="00754D77">
        <w:t>)</w:t>
      </w:r>
      <w:r>
        <w:t xml:space="preserve">. </w:t>
      </w:r>
      <w:proofErr w:type="spellStart"/>
      <w:r>
        <w:t>CardConnect</w:t>
      </w:r>
      <w:proofErr w:type="spellEnd"/>
      <w:r>
        <w:t xml:space="preserve"> and Arrow Payments personnel will provide training on the Dashboard.</w:t>
      </w:r>
    </w:p>
    <w:p w14:paraId="2BCCF578" w14:textId="77777777" w:rsidR="00A75000" w:rsidRDefault="00A75000" w:rsidP="00A75000">
      <w:pPr>
        <w:pStyle w:val="ListParagraph"/>
        <w:numPr>
          <w:ilvl w:val="0"/>
          <w:numId w:val="2"/>
        </w:numPr>
      </w:pPr>
      <w:r>
        <w:t>Annually, all facility staff must re-certify PCI-DSS training; the university will also re-certify the SAQ for the Merchant ID, answering questions regarding the security status of the payment solution.</w:t>
      </w:r>
    </w:p>
    <w:p w14:paraId="6B3CA4BB" w14:textId="15FB323C" w:rsidR="009832B4" w:rsidRDefault="00DB33E2" w:rsidP="00A75000">
      <w:pPr>
        <w:pStyle w:val="ListParagraph"/>
        <w:numPr>
          <w:ilvl w:val="0"/>
          <w:numId w:val="2"/>
        </w:numPr>
      </w:pPr>
      <w:r>
        <w:t>The cost to facilities for offering credit cards is between $0 and $25 per month depending on transaction volume</w:t>
      </w:r>
      <w:r w:rsidR="00676BB1">
        <w:t>.</w:t>
      </w:r>
      <w:r w:rsidR="00D47D59">
        <w:t xml:space="preserve"> If a </w:t>
      </w:r>
      <w:r>
        <w:t>Merchant ID (MID)</w:t>
      </w:r>
      <w:r w:rsidR="00D47D59">
        <w:t xml:space="preserve"> generates $25 in </w:t>
      </w:r>
      <w:r>
        <w:t>fees in a month, there is no monthly fee</w:t>
      </w:r>
      <w:r w:rsidR="00D47D59">
        <w:t xml:space="preserve">. </w:t>
      </w:r>
      <w:r w:rsidR="001456FF">
        <w:t>A MID must collect</w:t>
      </w:r>
      <w:r>
        <w:t xml:space="preserve"> at least $714.29 in sales to avoid </w:t>
      </w:r>
      <w:r w:rsidR="00D47D59">
        <w:t>the</w:t>
      </w:r>
      <w:r>
        <w:t xml:space="preserve"> monthly fee. Otherwise,</w:t>
      </w:r>
      <w:r w:rsidR="001456FF">
        <w:t xml:space="preserve"> the MID will be charged a pro-rated amount to ensure that the backend vendors receive at least $25.</w:t>
      </w:r>
    </w:p>
    <w:p w14:paraId="70F1C02D" w14:textId="77777777" w:rsidR="00A75000" w:rsidRDefault="00A75000" w:rsidP="00A75000"/>
    <w:p w14:paraId="05667869" w14:textId="77777777" w:rsidR="00A75000" w:rsidRDefault="00A75000" w:rsidP="00A75000">
      <w:pPr>
        <w:rPr>
          <w:sz w:val="28"/>
          <w:szCs w:val="28"/>
        </w:rPr>
      </w:pPr>
      <w:r>
        <w:rPr>
          <w:sz w:val="28"/>
          <w:szCs w:val="28"/>
        </w:rPr>
        <w:t>Process for Accepting Payments</w:t>
      </w:r>
    </w:p>
    <w:p w14:paraId="47260393" w14:textId="77777777" w:rsidR="00A75000" w:rsidRDefault="00A75000" w:rsidP="00A75000">
      <w:pPr>
        <w:rPr>
          <w:sz w:val="28"/>
          <w:szCs w:val="28"/>
        </w:rPr>
      </w:pPr>
    </w:p>
    <w:p w14:paraId="1863F76B" w14:textId="77777777" w:rsidR="00A75000" w:rsidRDefault="00A75000" w:rsidP="00A75000">
      <w:pPr>
        <w:pStyle w:val="ListParagraph"/>
        <w:numPr>
          <w:ilvl w:val="0"/>
          <w:numId w:val="5"/>
        </w:numPr>
      </w:pPr>
      <w:r>
        <w:t xml:space="preserve">Upon completion of all steps in the “Setup Procedure”, </w:t>
      </w:r>
      <w:proofErr w:type="spellStart"/>
      <w:r>
        <w:t>NUcore</w:t>
      </w:r>
      <w:proofErr w:type="spellEnd"/>
      <w:r>
        <w:t xml:space="preserve"> staff will activate the </w:t>
      </w:r>
      <w:r w:rsidR="00535D36">
        <w:t xml:space="preserve">credit card </w:t>
      </w:r>
      <w:r>
        <w:t>feature for the core facility</w:t>
      </w:r>
      <w:r w:rsidR="00535D36">
        <w:t xml:space="preserve"> in </w:t>
      </w:r>
      <w:proofErr w:type="spellStart"/>
      <w:r w:rsidR="00535D36">
        <w:t>NUcore</w:t>
      </w:r>
      <w:proofErr w:type="spellEnd"/>
      <w:r>
        <w:t>. Depending on the administrative structure, multiple facilities may share a single Merchant ID (MID).</w:t>
      </w:r>
    </w:p>
    <w:p w14:paraId="4E17959E" w14:textId="5636948D" w:rsidR="00A75000" w:rsidRDefault="00535D36" w:rsidP="00A75000">
      <w:pPr>
        <w:pStyle w:val="ListParagraph"/>
        <w:numPr>
          <w:ilvl w:val="0"/>
          <w:numId w:val="5"/>
        </w:numPr>
      </w:pPr>
      <w:r>
        <w:t xml:space="preserve">Active core facilities will bill </w:t>
      </w:r>
      <w:r w:rsidR="007C272D">
        <w:t xml:space="preserve">their </w:t>
      </w:r>
      <w:r>
        <w:t xml:space="preserve">external customers without any change in current process. For instructions on billing/reconciliation in </w:t>
      </w:r>
      <w:proofErr w:type="spellStart"/>
      <w:r>
        <w:t>NUcore</w:t>
      </w:r>
      <w:proofErr w:type="spellEnd"/>
      <w:r>
        <w:t>, please see the following document:</w:t>
      </w:r>
    </w:p>
    <w:p w14:paraId="79D3AEC1" w14:textId="77777777" w:rsidR="00535D36" w:rsidRDefault="00DB33E2" w:rsidP="00535D36">
      <w:pPr>
        <w:pStyle w:val="ListParagraph"/>
      </w:pPr>
      <w:hyperlink r:id="rId8" w:history="1">
        <w:r w:rsidR="00535D36" w:rsidRPr="001642BD">
          <w:rPr>
            <w:rStyle w:val="Hyperlink"/>
          </w:rPr>
          <w:t>http://www.feinberg.northwestern.edu/research/docs/cores/NUcore/Billing-Step_by_Step_Guide.docx</w:t>
        </w:r>
      </w:hyperlink>
    </w:p>
    <w:p w14:paraId="48E41295" w14:textId="53207AFF" w:rsidR="00535D36" w:rsidRDefault="007C272D" w:rsidP="00A75000">
      <w:pPr>
        <w:pStyle w:val="ListParagraph"/>
        <w:numPr>
          <w:ilvl w:val="0"/>
          <w:numId w:val="5"/>
        </w:numPr>
      </w:pPr>
      <w:r>
        <w:t>A link to “Pay by Credit Card” will be embedded in both the body of the email invoice and in the attached PDF Statement. The link is available reg</w:t>
      </w:r>
      <w:r w:rsidR="00C73B02">
        <w:t xml:space="preserve">ardless </w:t>
      </w:r>
      <w:r w:rsidR="00676BB1">
        <w:t>of whether the user was setup to pay with a</w:t>
      </w:r>
      <w:r w:rsidR="00C73B02">
        <w:t xml:space="preserve"> “Purchase Order” Payment Source or a “Credit Card” Payment Source.</w:t>
      </w:r>
    </w:p>
    <w:p w14:paraId="70150EDB" w14:textId="45EB5A6F" w:rsidR="00C73B02" w:rsidRDefault="00C73B02" w:rsidP="00A75000">
      <w:pPr>
        <w:pStyle w:val="ListParagraph"/>
        <w:numPr>
          <w:ilvl w:val="0"/>
          <w:numId w:val="5"/>
        </w:numPr>
      </w:pPr>
      <w:r>
        <w:t>After clicking on either link, the external cu</w:t>
      </w:r>
      <w:r w:rsidR="002A691A">
        <w:t xml:space="preserve">stomer will enter their credit card number, </w:t>
      </w:r>
      <w:r>
        <w:t>expiration date</w:t>
      </w:r>
      <w:r w:rsidR="002A691A">
        <w:t>,</w:t>
      </w:r>
      <w:r>
        <w:t xml:space="preserve"> and </w:t>
      </w:r>
      <w:r w:rsidR="002A691A">
        <w:t xml:space="preserve">then </w:t>
      </w:r>
      <w:r>
        <w:t xml:space="preserve">submit </w:t>
      </w:r>
      <w:r w:rsidR="002A691A">
        <w:t>the transaction</w:t>
      </w:r>
      <w:r>
        <w:t>. After the payment has been processed, it is no longer possible to pay the invoic</w:t>
      </w:r>
      <w:r w:rsidR="00C723A7">
        <w:t xml:space="preserve">e amount with </w:t>
      </w:r>
      <w:r w:rsidR="00C723A7">
        <w:lastRenderedPageBreak/>
        <w:t>the link; instead</w:t>
      </w:r>
      <w:r>
        <w:t xml:space="preserve"> </w:t>
      </w:r>
      <w:r w:rsidR="00C723A7">
        <w:t>clicking the link will display information about the</w:t>
      </w:r>
      <w:r>
        <w:t xml:space="preserve"> payment</w:t>
      </w:r>
      <w:r w:rsidR="00C723A7">
        <w:t>. The</w:t>
      </w:r>
      <w:r>
        <w:t xml:space="preserve"> </w:t>
      </w:r>
      <w:r w:rsidR="00676BB1">
        <w:t xml:space="preserve">external customer </w:t>
      </w:r>
      <w:r w:rsidR="00A3488D">
        <w:t>ma</w:t>
      </w:r>
      <w:r w:rsidR="00676BB1">
        <w:t xml:space="preserve">y forward the </w:t>
      </w:r>
      <w:r>
        <w:t>ema</w:t>
      </w:r>
      <w:r w:rsidR="00676BB1">
        <w:t xml:space="preserve">il and/or PDF </w:t>
      </w:r>
      <w:r>
        <w:t xml:space="preserve">to </w:t>
      </w:r>
      <w:r w:rsidR="00C723A7">
        <w:t xml:space="preserve">other </w:t>
      </w:r>
      <w:r>
        <w:t xml:space="preserve">personnel </w:t>
      </w:r>
      <w:r w:rsidR="00676BB1">
        <w:t xml:space="preserve">who </w:t>
      </w:r>
      <w:r w:rsidR="009B1BA2">
        <w:t>might</w:t>
      </w:r>
      <w:r w:rsidR="00676BB1">
        <w:t xml:space="preserve"> assist with</w:t>
      </w:r>
      <w:r w:rsidR="00C723A7">
        <w:t xml:space="preserve"> process</w:t>
      </w:r>
      <w:r w:rsidR="00676BB1">
        <w:t>ing</w:t>
      </w:r>
      <w:r>
        <w:t xml:space="preserve"> payment</w:t>
      </w:r>
      <w:r w:rsidR="00676BB1">
        <w:t>s</w:t>
      </w:r>
      <w:r>
        <w:t xml:space="preserve">; a </w:t>
      </w:r>
      <w:proofErr w:type="spellStart"/>
      <w:r>
        <w:t>NUcore</w:t>
      </w:r>
      <w:proofErr w:type="spellEnd"/>
      <w:r>
        <w:t xml:space="preserve"> login is not required to pay the invoice using a credit card.</w:t>
      </w:r>
    </w:p>
    <w:p w14:paraId="23991ADA" w14:textId="43608AD5" w:rsidR="00C73B02" w:rsidRPr="00C73B02" w:rsidRDefault="00C73B02" w:rsidP="00A75000">
      <w:pPr>
        <w:pStyle w:val="ListParagraph"/>
        <w:numPr>
          <w:ilvl w:val="0"/>
          <w:numId w:val="5"/>
        </w:numPr>
      </w:pPr>
      <w:r>
        <w:rPr>
          <w:b/>
          <w:color w:val="FF0000"/>
        </w:rPr>
        <w:t xml:space="preserve">Never accept </w:t>
      </w:r>
      <w:r w:rsidR="00D70CC7">
        <w:rPr>
          <w:b/>
          <w:color w:val="FF0000"/>
        </w:rPr>
        <w:t>or</w:t>
      </w:r>
      <w:r>
        <w:rPr>
          <w:b/>
          <w:color w:val="FF0000"/>
        </w:rPr>
        <w:t xml:space="preserve"> process credit card information on behalf a</w:t>
      </w:r>
      <w:r w:rsidR="00227B06">
        <w:rPr>
          <w:b/>
          <w:color w:val="FF0000"/>
        </w:rPr>
        <w:t>n external</w:t>
      </w:r>
      <w:r>
        <w:rPr>
          <w:b/>
          <w:color w:val="FF0000"/>
        </w:rPr>
        <w:t xml:space="preserve"> user. External customers must pay these invoices directly, exclusively using non-Northwestern devices and network infrastructure. Failure to comply with this policy violates our certified PCI-DSS scope disclosure and will result in the immediate termination of credit card acceptance rights</w:t>
      </w:r>
      <w:r w:rsidR="00227B06">
        <w:rPr>
          <w:b/>
          <w:color w:val="FF0000"/>
        </w:rPr>
        <w:t xml:space="preserve"> for your facility</w:t>
      </w:r>
      <w:r>
        <w:rPr>
          <w:b/>
          <w:color w:val="FF0000"/>
        </w:rPr>
        <w:t>.</w:t>
      </w:r>
    </w:p>
    <w:p w14:paraId="37F84E4E" w14:textId="103B42C5" w:rsidR="00535D36" w:rsidRDefault="00C73B02" w:rsidP="00535D36">
      <w:pPr>
        <w:pStyle w:val="ListParagraph"/>
        <w:numPr>
          <w:ilvl w:val="0"/>
          <w:numId w:val="5"/>
        </w:numPr>
      </w:pPr>
      <w:r>
        <w:t>External customers will pay a surcharge in the amount of 3.5% added to the sales amount invoiced by the core. This fee is a fixed percentage for all dollar amounts and all card types. We will accept Visa, MasterCard, and Discover card types (</w:t>
      </w:r>
      <w:r w:rsidR="00576BAD">
        <w:t xml:space="preserve">but </w:t>
      </w:r>
      <w:r w:rsidR="006E668B">
        <w:t>not American Express</w:t>
      </w:r>
      <w:r w:rsidR="0060012E">
        <w:t>).</w:t>
      </w:r>
    </w:p>
    <w:p w14:paraId="575FC5FC" w14:textId="7B3891DD" w:rsidR="0060012E" w:rsidRDefault="0060012E" w:rsidP="00535D36">
      <w:pPr>
        <w:pStyle w:val="ListParagraph"/>
        <w:numPr>
          <w:ilvl w:val="0"/>
          <w:numId w:val="5"/>
        </w:numPr>
      </w:pPr>
      <w:r>
        <w:t xml:space="preserve">The total amount paid by all customers for a given Merchant ID will post and batch through </w:t>
      </w:r>
      <w:proofErr w:type="spellStart"/>
      <w:r>
        <w:t>CardConnect</w:t>
      </w:r>
      <w:proofErr w:type="spellEnd"/>
      <w:r>
        <w:t xml:space="preserve">. This activity will be available for reporting in the </w:t>
      </w:r>
      <w:proofErr w:type="spellStart"/>
      <w:r>
        <w:t>CardConnect</w:t>
      </w:r>
      <w:proofErr w:type="spellEnd"/>
      <w:r>
        <w:t xml:space="preserve"> Dashboard. It is possible to setup email alerts for batch activity in the Dashboard.</w:t>
      </w:r>
    </w:p>
    <w:p w14:paraId="4C7D3A76" w14:textId="46168153" w:rsidR="0060012E" w:rsidRDefault="0060012E" w:rsidP="00535D36">
      <w:pPr>
        <w:pStyle w:val="ListParagraph"/>
        <w:numPr>
          <w:ilvl w:val="0"/>
          <w:numId w:val="5"/>
        </w:numPr>
      </w:pPr>
      <w:r>
        <w:t>Based on batch activity, Treasury Services will pre-popul</w:t>
      </w:r>
      <w:r w:rsidR="00E03836">
        <w:t>ate a CRT for the facility to “c</w:t>
      </w:r>
      <w:r>
        <w:t xml:space="preserve">ommit”. Note that the surcharge amount will be included in the CRT, but on a separate line. (E.g. if a core </w:t>
      </w:r>
      <w:r w:rsidR="00A10673">
        <w:t xml:space="preserve">facility </w:t>
      </w:r>
      <w:r>
        <w:t xml:space="preserve">invoices a user for $100, the customer will pay </w:t>
      </w:r>
      <w:r w:rsidR="00A10673">
        <w:t xml:space="preserve">a total amount of </w:t>
      </w:r>
      <w:r>
        <w:t>$103.50; the CRT will display two credit lines, one for $100, one for $3.50.)</w:t>
      </w:r>
      <w:r w:rsidR="00E03836">
        <w:t xml:space="preserve"> These pre-populated CRT’s should be used to process credit card batches from </w:t>
      </w:r>
      <w:proofErr w:type="spellStart"/>
      <w:r w:rsidR="00E03836">
        <w:t>CardConnect</w:t>
      </w:r>
      <w:proofErr w:type="spellEnd"/>
      <w:r w:rsidR="00E03836">
        <w:t xml:space="preserve"> only. Separate CRT’s must be prepared in order to process check and cash deposits.</w:t>
      </w:r>
    </w:p>
    <w:p w14:paraId="18963F47" w14:textId="42064C06" w:rsidR="008820A2" w:rsidRDefault="008820A2" w:rsidP="00535D36">
      <w:pPr>
        <w:pStyle w:val="ListParagraph"/>
        <w:numPr>
          <w:ilvl w:val="0"/>
          <w:numId w:val="5"/>
        </w:numPr>
      </w:pPr>
      <w:r>
        <w:t>Before committing the CRT, the facility must verify chart string combination information in the top half of the CRT (the bottom portion of the CRT cannot be modified), ensuring proper credit to the recharge chart string and proper external revenue Account Code.</w:t>
      </w:r>
    </w:p>
    <w:p w14:paraId="069F6623" w14:textId="7036332B" w:rsidR="008820A2" w:rsidRDefault="008820A2" w:rsidP="00535D36">
      <w:pPr>
        <w:pStyle w:val="ListParagraph"/>
        <w:numPr>
          <w:ilvl w:val="0"/>
          <w:numId w:val="5"/>
        </w:numPr>
      </w:pPr>
      <w:r>
        <w:t>Treasury Services will process a Journal Upload Spreadsheet corresponding to the surcharge amount, thus leaving the net sales amount in the facility’s accounts</w:t>
      </w:r>
      <w:r w:rsidR="00A10673">
        <w:t>. Decisions regarding the exact accounting structure for transactions will be made during the “Setup Procedure”; this will determine chart string defaults for the pre-populated CRT’s.</w:t>
      </w:r>
    </w:p>
    <w:p w14:paraId="7C95100D" w14:textId="77777777" w:rsidR="00415344" w:rsidRDefault="00415344" w:rsidP="00415344"/>
    <w:p w14:paraId="60C5F616" w14:textId="5BFDF844" w:rsidR="00415344" w:rsidRDefault="00415344" w:rsidP="00415344">
      <w:pPr>
        <w:rPr>
          <w:sz w:val="28"/>
          <w:szCs w:val="28"/>
        </w:rPr>
      </w:pPr>
      <w:r>
        <w:rPr>
          <w:sz w:val="28"/>
          <w:szCs w:val="28"/>
        </w:rPr>
        <w:t>Support Contacts:</w:t>
      </w:r>
    </w:p>
    <w:p w14:paraId="257E9F55" w14:textId="77777777" w:rsidR="00415344" w:rsidRDefault="00415344" w:rsidP="00415344">
      <w:pPr>
        <w:rPr>
          <w:sz w:val="28"/>
          <w:szCs w:val="28"/>
        </w:rPr>
      </w:pPr>
    </w:p>
    <w:p w14:paraId="1AF8AB33" w14:textId="34877A90" w:rsidR="00415344" w:rsidRDefault="00415344" w:rsidP="00415344">
      <w:proofErr w:type="spellStart"/>
      <w:r>
        <w:t>NUcore</w:t>
      </w:r>
      <w:proofErr w:type="spellEnd"/>
      <w:r>
        <w:t xml:space="preserve"> (Invoicing and Final Reconciliation of PO/CC Payment Sources)</w:t>
      </w:r>
    </w:p>
    <w:p w14:paraId="6852C9F3" w14:textId="2C7DA25C" w:rsidR="00415344" w:rsidRDefault="00415344" w:rsidP="00415344">
      <w:r>
        <w:tab/>
        <w:t xml:space="preserve">Aaron Rosen (Office for Research): </w:t>
      </w:r>
      <w:proofErr w:type="spellStart"/>
      <w:r w:rsidRPr="00415344">
        <w:t>aaron-rosen</w:t>
      </w:r>
      <w:proofErr w:type="spellEnd"/>
      <w:r w:rsidRPr="00415344">
        <w:t xml:space="preserve"> [at] northwestern.edu</w:t>
      </w:r>
    </w:p>
    <w:p w14:paraId="5008754B" w14:textId="37B93F78" w:rsidR="00415344" w:rsidRDefault="00415344" w:rsidP="00415344">
      <w:r>
        <w:tab/>
        <w:t xml:space="preserve">Todd </w:t>
      </w:r>
      <w:proofErr w:type="spellStart"/>
      <w:r>
        <w:t>Shamaly</w:t>
      </w:r>
      <w:proofErr w:type="spellEnd"/>
      <w:r>
        <w:t xml:space="preserve"> (FSM/Office for Research): </w:t>
      </w:r>
      <w:r w:rsidRPr="00415344">
        <w:t>t-</w:t>
      </w:r>
      <w:proofErr w:type="spellStart"/>
      <w:r w:rsidRPr="00415344">
        <w:t>shamaly</w:t>
      </w:r>
      <w:proofErr w:type="spellEnd"/>
      <w:r w:rsidRPr="00415344">
        <w:t xml:space="preserve"> [at] northwestern.edu</w:t>
      </w:r>
    </w:p>
    <w:p w14:paraId="172AA4FB" w14:textId="2F5BB68E" w:rsidR="00415344" w:rsidRDefault="00415344" w:rsidP="00415344">
      <w:r>
        <w:t>Treasury Services (Pre-populated CRT Processing)</w:t>
      </w:r>
    </w:p>
    <w:p w14:paraId="11276509" w14:textId="70E476AC" w:rsidR="00415344" w:rsidRDefault="00415344" w:rsidP="00415344">
      <w:r>
        <w:tab/>
        <w:t xml:space="preserve">Cindy </w:t>
      </w:r>
      <w:proofErr w:type="spellStart"/>
      <w:r>
        <w:t>Regner</w:t>
      </w:r>
      <w:proofErr w:type="spellEnd"/>
      <w:r>
        <w:t xml:space="preserve"> (Depository Services): </w:t>
      </w:r>
      <w:r w:rsidRPr="00415344">
        <w:t>c-</w:t>
      </w:r>
      <w:proofErr w:type="spellStart"/>
      <w:r w:rsidRPr="00415344">
        <w:t>regner</w:t>
      </w:r>
      <w:proofErr w:type="spellEnd"/>
      <w:r w:rsidRPr="00415344">
        <w:t xml:space="preserve"> [at] northwestern.edu</w:t>
      </w:r>
    </w:p>
    <w:p w14:paraId="2B1581BC" w14:textId="392A2DDB" w:rsidR="00415344" w:rsidRDefault="00415344" w:rsidP="00415344">
      <w:proofErr w:type="spellStart"/>
      <w:r>
        <w:t>CardConnect</w:t>
      </w:r>
      <w:proofErr w:type="spellEnd"/>
      <w:r>
        <w:t xml:space="preserve"> Dashboard (Credit Card Batch and Funding Details)</w:t>
      </w:r>
    </w:p>
    <w:p w14:paraId="01E06588" w14:textId="70D3CE41" w:rsidR="00415344" w:rsidRDefault="00415344" w:rsidP="00415344">
      <w:r>
        <w:tab/>
        <w:t>Josh Robinson (</w:t>
      </w:r>
      <w:proofErr w:type="spellStart"/>
      <w:r>
        <w:t>CardConnect</w:t>
      </w:r>
      <w:proofErr w:type="spellEnd"/>
      <w:r>
        <w:t xml:space="preserve">): </w:t>
      </w:r>
      <w:proofErr w:type="spellStart"/>
      <w:r>
        <w:t>jrobinson</w:t>
      </w:r>
      <w:proofErr w:type="spellEnd"/>
      <w:r>
        <w:t xml:space="preserve"> [at] </w:t>
      </w:r>
      <w:r w:rsidRPr="00415344">
        <w:t>cardconnect.com</w:t>
      </w:r>
    </w:p>
    <w:p w14:paraId="5B165284" w14:textId="59CCE732" w:rsidR="00415344" w:rsidRPr="00415344" w:rsidRDefault="00415344" w:rsidP="00415344">
      <w:r>
        <w:tab/>
        <w:t xml:space="preserve">Andrew O’Conner (Arrow Payments): </w:t>
      </w:r>
      <w:proofErr w:type="spellStart"/>
      <w:r>
        <w:t>andrewoc</w:t>
      </w:r>
      <w:proofErr w:type="spellEnd"/>
      <w:r>
        <w:t xml:space="preserve"> [at] arrowpayments.com</w:t>
      </w:r>
    </w:p>
    <w:sectPr w:rsidR="00415344" w:rsidRPr="00415344" w:rsidSect="002D43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D19"/>
    <w:multiLevelType w:val="hybridMultilevel"/>
    <w:tmpl w:val="D28AB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93CA2"/>
    <w:multiLevelType w:val="hybridMultilevel"/>
    <w:tmpl w:val="BAF03F12"/>
    <w:lvl w:ilvl="0" w:tplc="F552DAB4">
      <w:start w:val="1"/>
      <w:numFmt w:val="bullet"/>
      <w:lvlText w:val=""/>
      <w:lvlJc w:val="left"/>
      <w:pPr>
        <w:tabs>
          <w:tab w:val="num" w:pos="720"/>
        </w:tabs>
        <w:ind w:left="720" w:hanging="360"/>
      </w:pPr>
      <w:rPr>
        <w:rFonts w:ascii="Wingdings" w:hAnsi="Wingdings" w:hint="default"/>
      </w:rPr>
    </w:lvl>
    <w:lvl w:ilvl="1" w:tplc="CD7498D6" w:tentative="1">
      <w:start w:val="1"/>
      <w:numFmt w:val="bullet"/>
      <w:lvlText w:val=""/>
      <w:lvlJc w:val="left"/>
      <w:pPr>
        <w:tabs>
          <w:tab w:val="num" w:pos="1440"/>
        </w:tabs>
        <w:ind w:left="1440" w:hanging="360"/>
      </w:pPr>
      <w:rPr>
        <w:rFonts w:ascii="Wingdings" w:hAnsi="Wingdings" w:hint="default"/>
      </w:rPr>
    </w:lvl>
    <w:lvl w:ilvl="2" w:tplc="F57C4642" w:tentative="1">
      <w:start w:val="1"/>
      <w:numFmt w:val="bullet"/>
      <w:lvlText w:val=""/>
      <w:lvlJc w:val="left"/>
      <w:pPr>
        <w:tabs>
          <w:tab w:val="num" w:pos="2160"/>
        </w:tabs>
        <w:ind w:left="2160" w:hanging="360"/>
      </w:pPr>
      <w:rPr>
        <w:rFonts w:ascii="Wingdings" w:hAnsi="Wingdings" w:hint="default"/>
      </w:rPr>
    </w:lvl>
    <w:lvl w:ilvl="3" w:tplc="AADC51C0" w:tentative="1">
      <w:start w:val="1"/>
      <w:numFmt w:val="bullet"/>
      <w:lvlText w:val=""/>
      <w:lvlJc w:val="left"/>
      <w:pPr>
        <w:tabs>
          <w:tab w:val="num" w:pos="2880"/>
        </w:tabs>
        <w:ind w:left="2880" w:hanging="360"/>
      </w:pPr>
      <w:rPr>
        <w:rFonts w:ascii="Wingdings" w:hAnsi="Wingdings" w:hint="default"/>
      </w:rPr>
    </w:lvl>
    <w:lvl w:ilvl="4" w:tplc="91C2495E" w:tentative="1">
      <w:start w:val="1"/>
      <w:numFmt w:val="bullet"/>
      <w:lvlText w:val=""/>
      <w:lvlJc w:val="left"/>
      <w:pPr>
        <w:tabs>
          <w:tab w:val="num" w:pos="3600"/>
        </w:tabs>
        <w:ind w:left="3600" w:hanging="360"/>
      </w:pPr>
      <w:rPr>
        <w:rFonts w:ascii="Wingdings" w:hAnsi="Wingdings" w:hint="default"/>
      </w:rPr>
    </w:lvl>
    <w:lvl w:ilvl="5" w:tplc="F1329ED0" w:tentative="1">
      <w:start w:val="1"/>
      <w:numFmt w:val="bullet"/>
      <w:lvlText w:val=""/>
      <w:lvlJc w:val="left"/>
      <w:pPr>
        <w:tabs>
          <w:tab w:val="num" w:pos="4320"/>
        </w:tabs>
        <w:ind w:left="4320" w:hanging="360"/>
      </w:pPr>
      <w:rPr>
        <w:rFonts w:ascii="Wingdings" w:hAnsi="Wingdings" w:hint="default"/>
      </w:rPr>
    </w:lvl>
    <w:lvl w:ilvl="6" w:tplc="FA902494" w:tentative="1">
      <w:start w:val="1"/>
      <w:numFmt w:val="bullet"/>
      <w:lvlText w:val=""/>
      <w:lvlJc w:val="left"/>
      <w:pPr>
        <w:tabs>
          <w:tab w:val="num" w:pos="5040"/>
        </w:tabs>
        <w:ind w:left="5040" w:hanging="360"/>
      </w:pPr>
      <w:rPr>
        <w:rFonts w:ascii="Wingdings" w:hAnsi="Wingdings" w:hint="default"/>
      </w:rPr>
    </w:lvl>
    <w:lvl w:ilvl="7" w:tplc="8676E292" w:tentative="1">
      <w:start w:val="1"/>
      <w:numFmt w:val="bullet"/>
      <w:lvlText w:val=""/>
      <w:lvlJc w:val="left"/>
      <w:pPr>
        <w:tabs>
          <w:tab w:val="num" w:pos="5760"/>
        </w:tabs>
        <w:ind w:left="5760" w:hanging="360"/>
      </w:pPr>
      <w:rPr>
        <w:rFonts w:ascii="Wingdings" w:hAnsi="Wingdings" w:hint="default"/>
      </w:rPr>
    </w:lvl>
    <w:lvl w:ilvl="8" w:tplc="B0B47BB2" w:tentative="1">
      <w:start w:val="1"/>
      <w:numFmt w:val="bullet"/>
      <w:lvlText w:val=""/>
      <w:lvlJc w:val="left"/>
      <w:pPr>
        <w:tabs>
          <w:tab w:val="num" w:pos="6480"/>
        </w:tabs>
        <w:ind w:left="6480" w:hanging="360"/>
      </w:pPr>
      <w:rPr>
        <w:rFonts w:ascii="Wingdings" w:hAnsi="Wingdings" w:hint="default"/>
      </w:rPr>
    </w:lvl>
  </w:abstractNum>
  <w:abstractNum w:abstractNumId="2">
    <w:nsid w:val="19046866"/>
    <w:multiLevelType w:val="hybridMultilevel"/>
    <w:tmpl w:val="D1C65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A11D4"/>
    <w:multiLevelType w:val="hybridMultilevel"/>
    <w:tmpl w:val="6BF4DEE4"/>
    <w:lvl w:ilvl="0" w:tplc="65281C4A">
      <w:start w:val="1"/>
      <w:numFmt w:val="bullet"/>
      <w:lvlText w:val=""/>
      <w:lvlJc w:val="left"/>
      <w:pPr>
        <w:tabs>
          <w:tab w:val="num" w:pos="720"/>
        </w:tabs>
        <w:ind w:left="720" w:hanging="360"/>
      </w:pPr>
      <w:rPr>
        <w:rFonts w:ascii="Wingdings" w:hAnsi="Wingdings" w:hint="default"/>
      </w:rPr>
    </w:lvl>
    <w:lvl w:ilvl="1" w:tplc="84CE450E" w:tentative="1">
      <w:start w:val="1"/>
      <w:numFmt w:val="bullet"/>
      <w:lvlText w:val=""/>
      <w:lvlJc w:val="left"/>
      <w:pPr>
        <w:tabs>
          <w:tab w:val="num" w:pos="1440"/>
        </w:tabs>
        <w:ind w:left="1440" w:hanging="360"/>
      </w:pPr>
      <w:rPr>
        <w:rFonts w:ascii="Wingdings" w:hAnsi="Wingdings" w:hint="default"/>
      </w:rPr>
    </w:lvl>
    <w:lvl w:ilvl="2" w:tplc="A96AB1E4" w:tentative="1">
      <w:start w:val="1"/>
      <w:numFmt w:val="bullet"/>
      <w:lvlText w:val=""/>
      <w:lvlJc w:val="left"/>
      <w:pPr>
        <w:tabs>
          <w:tab w:val="num" w:pos="2160"/>
        </w:tabs>
        <w:ind w:left="2160" w:hanging="360"/>
      </w:pPr>
      <w:rPr>
        <w:rFonts w:ascii="Wingdings" w:hAnsi="Wingdings" w:hint="default"/>
      </w:rPr>
    </w:lvl>
    <w:lvl w:ilvl="3" w:tplc="256C019E" w:tentative="1">
      <w:start w:val="1"/>
      <w:numFmt w:val="bullet"/>
      <w:lvlText w:val=""/>
      <w:lvlJc w:val="left"/>
      <w:pPr>
        <w:tabs>
          <w:tab w:val="num" w:pos="2880"/>
        </w:tabs>
        <w:ind w:left="2880" w:hanging="360"/>
      </w:pPr>
      <w:rPr>
        <w:rFonts w:ascii="Wingdings" w:hAnsi="Wingdings" w:hint="default"/>
      </w:rPr>
    </w:lvl>
    <w:lvl w:ilvl="4" w:tplc="4D38E4F6" w:tentative="1">
      <w:start w:val="1"/>
      <w:numFmt w:val="bullet"/>
      <w:lvlText w:val=""/>
      <w:lvlJc w:val="left"/>
      <w:pPr>
        <w:tabs>
          <w:tab w:val="num" w:pos="3600"/>
        </w:tabs>
        <w:ind w:left="3600" w:hanging="360"/>
      </w:pPr>
      <w:rPr>
        <w:rFonts w:ascii="Wingdings" w:hAnsi="Wingdings" w:hint="default"/>
      </w:rPr>
    </w:lvl>
    <w:lvl w:ilvl="5" w:tplc="461C2280" w:tentative="1">
      <w:start w:val="1"/>
      <w:numFmt w:val="bullet"/>
      <w:lvlText w:val=""/>
      <w:lvlJc w:val="left"/>
      <w:pPr>
        <w:tabs>
          <w:tab w:val="num" w:pos="4320"/>
        </w:tabs>
        <w:ind w:left="4320" w:hanging="360"/>
      </w:pPr>
      <w:rPr>
        <w:rFonts w:ascii="Wingdings" w:hAnsi="Wingdings" w:hint="default"/>
      </w:rPr>
    </w:lvl>
    <w:lvl w:ilvl="6" w:tplc="EECE1096" w:tentative="1">
      <w:start w:val="1"/>
      <w:numFmt w:val="bullet"/>
      <w:lvlText w:val=""/>
      <w:lvlJc w:val="left"/>
      <w:pPr>
        <w:tabs>
          <w:tab w:val="num" w:pos="5040"/>
        </w:tabs>
        <w:ind w:left="5040" w:hanging="360"/>
      </w:pPr>
      <w:rPr>
        <w:rFonts w:ascii="Wingdings" w:hAnsi="Wingdings" w:hint="default"/>
      </w:rPr>
    </w:lvl>
    <w:lvl w:ilvl="7" w:tplc="ADDEC644" w:tentative="1">
      <w:start w:val="1"/>
      <w:numFmt w:val="bullet"/>
      <w:lvlText w:val=""/>
      <w:lvlJc w:val="left"/>
      <w:pPr>
        <w:tabs>
          <w:tab w:val="num" w:pos="5760"/>
        </w:tabs>
        <w:ind w:left="5760" w:hanging="360"/>
      </w:pPr>
      <w:rPr>
        <w:rFonts w:ascii="Wingdings" w:hAnsi="Wingdings" w:hint="default"/>
      </w:rPr>
    </w:lvl>
    <w:lvl w:ilvl="8" w:tplc="99607EFA" w:tentative="1">
      <w:start w:val="1"/>
      <w:numFmt w:val="bullet"/>
      <w:lvlText w:val=""/>
      <w:lvlJc w:val="left"/>
      <w:pPr>
        <w:tabs>
          <w:tab w:val="num" w:pos="6480"/>
        </w:tabs>
        <w:ind w:left="6480" w:hanging="360"/>
      </w:pPr>
      <w:rPr>
        <w:rFonts w:ascii="Wingdings" w:hAnsi="Wingdings" w:hint="default"/>
      </w:rPr>
    </w:lvl>
  </w:abstractNum>
  <w:abstractNum w:abstractNumId="4">
    <w:nsid w:val="70663BFA"/>
    <w:multiLevelType w:val="hybridMultilevel"/>
    <w:tmpl w:val="41E07C54"/>
    <w:lvl w:ilvl="0" w:tplc="1C2E80AC">
      <w:start w:val="1"/>
      <w:numFmt w:val="bullet"/>
      <w:lvlText w:val=""/>
      <w:lvlJc w:val="left"/>
      <w:pPr>
        <w:tabs>
          <w:tab w:val="num" w:pos="720"/>
        </w:tabs>
        <w:ind w:left="720" w:hanging="360"/>
      </w:pPr>
      <w:rPr>
        <w:rFonts w:ascii="Wingdings" w:hAnsi="Wingdings" w:hint="default"/>
      </w:rPr>
    </w:lvl>
    <w:lvl w:ilvl="1" w:tplc="D5166B50" w:tentative="1">
      <w:start w:val="1"/>
      <w:numFmt w:val="bullet"/>
      <w:lvlText w:val=""/>
      <w:lvlJc w:val="left"/>
      <w:pPr>
        <w:tabs>
          <w:tab w:val="num" w:pos="1440"/>
        </w:tabs>
        <w:ind w:left="1440" w:hanging="360"/>
      </w:pPr>
      <w:rPr>
        <w:rFonts w:ascii="Wingdings" w:hAnsi="Wingdings" w:hint="default"/>
      </w:rPr>
    </w:lvl>
    <w:lvl w:ilvl="2" w:tplc="367E0000" w:tentative="1">
      <w:start w:val="1"/>
      <w:numFmt w:val="bullet"/>
      <w:lvlText w:val=""/>
      <w:lvlJc w:val="left"/>
      <w:pPr>
        <w:tabs>
          <w:tab w:val="num" w:pos="2160"/>
        </w:tabs>
        <w:ind w:left="2160" w:hanging="360"/>
      </w:pPr>
      <w:rPr>
        <w:rFonts w:ascii="Wingdings" w:hAnsi="Wingdings" w:hint="default"/>
      </w:rPr>
    </w:lvl>
    <w:lvl w:ilvl="3" w:tplc="74C8B91C" w:tentative="1">
      <w:start w:val="1"/>
      <w:numFmt w:val="bullet"/>
      <w:lvlText w:val=""/>
      <w:lvlJc w:val="left"/>
      <w:pPr>
        <w:tabs>
          <w:tab w:val="num" w:pos="2880"/>
        </w:tabs>
        <w:ind w:left="2880" w:hanging="360"/>
      </w:pPr>
      <w:rPr>
        <w:rFonts w:ascii="Wingdings" w:hAnsi="Wingdings" w:hint="default"/>
      </w:rPr>
    </w:lvl>
    <w:lvl w:ilvl="4" w:tplc="F57C427E" w:tentative="1">
      <w:start w:val="1"/>
      <w:numFmt w:val="bullet"/>
      <w:lvlText w:val=""/>
      <w:lvlJc w:val="left"/>
      <w:pPr>
        <w:tabs>
          <w:tab w:val="num" w:pos="3600"/>
        </w:tabs>
        <w:ind w:left="3600" w:hanging="360"/>
      </w:pPr>
      <w:rPr>
        <w:rFonts w:ascii="Wingdings" w:hAnsi="Wingdings" w:hint="default"/>
      </w:rPr>
    </w:lvl>
    <w:lvl w:ilvl="5" w:tplc="5DA26524" w:tentative="1">
      <w:start w:val="1"/>
      <w:numFmt w:val="bullet"/>
      <w:lvlText w:val=""/>
      <w:lvlJc w:val="left"/>
      <w:pPr>
        <w:tabs>
          <w:tab w:val="num" w:pos="4320"/>
        </w:tabs>
        <w:ind w:left="4320" w:hanging="360"/>
      </w:pPr>
      <w:rPr>
        <w:rFonts w:ascii="Wingdings" w:hAnsi="Wingdings" w:hint="default"/>
      </w:rPr>
    </w:lvl>
    <w:lvl w:ilvl="6" w:tplc="93E09DD6" w:tentative="1">
      <w:start w:val="1"/>
      <w:numFmt w:val="bullet"/>
      <w:lvlText w:val=""/>
      <w:lvlJc w:val="left"/>
      <w:pPr>
        <w:tabs>
          <w:tab w:val="num" w:pos="5040"/>
        </w:tabs>
        <w:ind w:left="5040" w:hanging="360"/>
      </w:pPr>
      <w:rPr>
        <w:rFonts w:ascii="Wingdings" w:hAnsi="Wingdings" w:hint="default"/>
      </w:rPr>
    </w:lvl>
    <w:lvl w:ilvl="7" w:tplc="BC244610" w:tentative="1">
      <w:start w:val="1"/>
      <w:numFmt w:val="bullet"/>
      <w:lvlText w:val=""/>
      <w:lvlJc w:val="left"/>
      <w:pPr>
        <w:tabs>
          <w:tab w:val="num" w:pos="5760"/>
        </w:tabs>
        <w:ind w:left="5760" w:hanging="360"/>
      </w:pPr>
      <w:rPr>
        <w:rFonts w:ascii="Wingdings" w:hAnsi="Wingdings" w:hint="default"/>
      </w:rPr>
    </w:lvl>
    <w:lvl w:ilvl="8" w:tplc="62CED73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00"/>
    <w:rsid w:val="001456FF"/>
    <w:rsid w:val="001474B0"/>
    <w:rsid w:val="00227B06"/>
    <w:rsid w:val="00232A1F"/>
    <w:rsid w:val="002A691A"/>
    <w:rsid w:val="002D15B2"/>
    <w:rsid w:val="002D4353"/>
    <w:rsid w:val="00415344"/>
    <w:rsid w:val="00535D36"/>
    <w:rsid w:val="00540D09"/>
    <w:rsid w:val="00576BAD"/>
    <w:rsid w:val="0060012E"/>
    <w:rsid w:val="00676BB1"/>
    <w:rsid w:val="006E668B"/>
    <w:rsid w:val="00754D77"/>
    <w:rsid w:val="007C272D"/>
    <w:rsid w:val="008820A2"/>
    <w:rsid w:val="009832B4"/>
    <w:rsid w:val="009B1BA2"/>
    <w:rsid w:val="00A10673"/>
    <w:rsid w:val="00A264F6"/>
    <w:rsid w:val="00A3488D"/>
    <w:rsid w:val="00A75000"/>
    <w:rsid w:val="00BA67F6"/>
    <w:rsid w:val="00C723A7"/>
    <w:rsid w:val="00C73B02"/>
    <w:rsid w:val="00D47D59"/>
    <w:rsid w:val="00D70CC7"/>
    <w:rsid w:val="00DB33E2"/>
    <w:rsid w:val="00E03836"/>
    <w:rsid w:val="00FB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E8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00"/>
    <w:pPr>
      <w:ind w:left="720"/>
      <w:contextualSpacing/>
    </w:pPr>
  </w:style>
  <w:style w:type="character" w:styleId="Hyperlink">
    <w:name w:val="Hyperlink"/>
    <w:basedOn w:val="DefaultParagraphFont"/>
    <w:uiPriority w:val="99"/>
    <w:unhideWhenUsed/>
    <w:rsid w:val="00A75000"/>
    <w:rPr>
      <w:color w:val="0000FF" w:themeColor="hyperlink"/>
      <w:u w:val="single"/>
    </w:rPr>
  </w:style>
  <w:style w:type="character" w:styleId="FollowedHyperlink">
    <w:name w:val="FollowedHyperlink"/>
    <w:basedOn w:val="DefaultParagraphFont"/>
    <w:uiPriority w:val="99"/>
    <w:semiHidden/>
    <w:unhideWhenUsed/>
    <w:rsid w:val="00A750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00"/>
    <w:pPr>
      <w:ind w:left="720"/>
      <w:contextualSpacing/>
    </w:pPr>
  </w:style>
  <w:style w:type="character" w:styleId="Hyperlink">
    <w:name w:val="Hyperlink"/>
    <w:basedOn w:val="DefaultParagraphFont"/>
    <w:uiPriority w:val="99"/>
    <w:unhideWhenUsed/>
    <w:rsid w:val="00A75000"/>
    <w:rPr>
      <w:color w:val="0000FF" w:themeColor="hyperlink"/>
      <w:u w:val="single"/>
    </w:rPr>
  </w:style>
  <w:style w:type="character" w:styleId="FollowedHyperlink">
    <w:name w:val="FollowedHyperlink"/>
    <w:basedOn w:val="DefaultParagraphFont"/>
    <w:uiPriority w:val="99"/>
    <w:semiHidden/>
    <w:unhideWhenUsed/>
    <w:rsid w:val="00A75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6760">
      <w:bodyDiv w:val="1"/>
      <w:marLeft w:val="0"/>
      <w:marRight w:val="0"/>
      <w:marTop w:val="0"/>
      <w:marBottom w:val="0"/>
      <w:divBdr>
        <w:top w:val="none" w:sz="0" w:space="0" w:color="auto"/>
        <w:left w:val="none" w:sz="0" w:space="0" w:color="auto"/>
        <w:bottom w:val="none" w:sz="0" w:space="0" w:color="auto"/>
        <w:right w:val="none" w:sz="0" w:space="0" w:color="auto"/>
      </w:divBdr>
      <w:divsChild>
        <w:div w:id="684946210">
          <w:marLeft w:val="504"/>
          <w:marRight w:val="0"/>
          <w:marTop w:val="140"/>
          <w:marBottom w:val="0"/>
          <w:divBdr>
            <w:top w:val="none" w:sz="0" w:space="0" w:color="auto"/>
            <w:left w:val="none" w:sz="0" w:space="0" w:color="auto"/>
            <w:bottom w:val="none" w:sz="0" w:space="0" w:color="auto"/>
            <w:right w:val="none" w:sz="0" w:space="0" w:color="auto"/>
          </w:divBdr>
        </w:div>
      </w:divsChild>
    </w:div>
    <w:div w:id="1910189045">
      <w:bodyDiv w:val="1"/>
      <w:marLeft w:val="0"/>
      <w:marRight w:val="0"/>
      <w:marTop w:val="0"/>
      <w:marBottom w:val="0"/>
      <w:divBdr>
        <w:top w:val="none" w:sz="0" w:space="0" w:color="auto"/>
        <w:left w:val="none" w:sz="0" w:space="0" w:color="auto"/>
        <w:bottom w:val="none" w:sz="0" w:space="0" w:color="auto"/>
        <w:right w:val="none" w:sz="0" w:space="0" w:color="auto"/>
      </w:divBdr>
      <w:divsChild>
        <w:div w:id="1372072966">
          <w:marLeft w:val="504"/>
          <w:marRight w:val="0"/>
          <w:marTop w:val="140"/>
          <w:marBottom w:val="0"/>
          <w:divBdr>
            <w:top w:val="none" w:sz="0" w:space="0" w:color="auto"/>
            <w:left w:val="none" w:sz="0" w:space="0" w:color="auto"/>
            <w:bottom w:val="none" w:sz="0" w:space="0" w:color="auto"/>
            <w:right w:val="none" w:sz="0" w:space="0" w:color="auto"/>
          </w:divBdr>
        </w:div>
      </w:divsChild>
    </w:div>
    <w:div w:id="2047871042">
      <w:bodyDiv w:val="1"/>
      <w:marLeft w:val="0"/>
      <w:marRight w:val="0"/>
      <w:marTop w:val="0"/>
      <w:marBottom w:val="0"/>
      <w:divBdr>
        <w:top w:val="none" w:sz="0" w:space="0" w:color="auto"/>
        <w:left w:val="none" w:sz="0" w:space="0" w:color="auto"/>
        <w:bottom w:val="none" w:sz="0" w:space="0" w:color="auto"/>
        <w:right w:val="none" w:sz="0" w:space="0" w:color="auto"/>
      </w:divBdr>
      <w:divsChild>
        <w:div w:id="1664620962">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western.edu/hr/workplace-learning/regulatory-compliance.html" TargetMode="External"/><Relationship Id="rId7" Type="http://schemas.openxmlformats.org/officeDocument/2006/relationships/hyperlink" Target="http://www.northwestern.edu/hr/workplace-learning/regulatory-compliance.html" TargetMode="External"/><Relationship Id="rId8" Type="http://schemas.openxmlformats.org/officeDocument/2006/relationships/hyperlink" Target="http://www.feinberg.northwestern.edu/research/docs/cores/NUcore/Billing-Step_by_Step_Guide.doc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831</Words>
  <Characters>4743</Characters>
  <Application>Microsoft Macintosh Word</Application>
  <DocSecurity>0</DocSecurity>
  <Lines>39</Lines>
  <Paragraphs>11</Paragraphs>
  <ScaleCrop>false</ScaleCrop>
  <Company>Northwestern University</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 Rosen</dc:creator>
  <cp:keywords/>
  <dc:description/>
  <cp:lastModifiedBy>Aaron J Rosen</cp:lastModifiedBy>
  <cp:revision>25</cp:revision>
  <dcterms:created xsi:type="dcterms:W3CDTF">2016-03-11T17:12:00Z</dcterms:created>
  <dcterms:modified xsi:type="dcterms:W3CDTF">2016-06-06T15:04:00Z</dcterms:modified>
</cp:coreProperties>
</file>